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3"/>
      </w:tblGrid>
      <w:tr w:rsidR="00257664" w:rsidTr="00257664">
        <w:tc>
          <w:tcPr>
            <w:tcW w:w="4243" w:type="dxa"/>
          </w:tcPr>
          <w:p w:rsidR="00257664" w:rsidRDefault="00257664" w:rsidP="00257664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</w:tcPr>
          <w:p w:rsidR="00257664" w:rsidRDefault="00257664" w:rsidP="00C81248">
            <w:pPr>
              <w:pStyle w:val="Heading6"/>
              <w:spacing w:before="0"/>
              <w:outlineLvl w:val="5"/>
              <w:rPr>
                <w:sz w:val="18"/>
                <w:szCs w:val="18"/>
              </w:rPr>
            </w:pPr>
          </w:p>
        </w:tc>
      </w:tr>
    </w:tbl>
    <w:p w:rsidR="009717B4" w:rsidRDefault="009717B4" w:rsidP="009717B4">
      <w:pPr>
        <w:rPr>
          <w:rStyle w:val="Strong"/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Remarks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</w:rPr>
        <w:t xml:space="preserve"> by Dr. Antoine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Mes</w:t>
      </w:r>
      <w:r w:rsidR="0016269D">
        <w:rPr>
          <w:rStyle w:val="Strong"/>
          <w:rFonts w:ascii="Verdana" w:hAnsi="Verdana"/>
          <w:color w:val="000000"/>
          <w:sz w:val="20"/>
          <w:szCs w:val="20"/>
        </w:rPr>
        <w:t>s</w:t>
      </w:r>
      <w:r>
        <w:rPr>
          <w:rStyle w:val="Strong"/>
          <w:rFonts w:ascii="Verdana" w:hAnsi="Verdana"/>
          <w:color w:val="000000"/>
          <w:sz w:val="20"/>
          <w:szCs w:val="20"/>
        </w:rPr>
        <w:t>arra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</w:rPr>
        <w:t xml:space="preserve">, Infrastructure Panel – </w:t>
      </w:r>
    </w:p>
    <w:p w:rsidR="009717B4" w:rsidRDefault="009717B4" w:rsidP="009717B4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Beirut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</w:rPr>
        <w:t xml:space="preserve">, Friday,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June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</w:rPr>
        <w:t xml:space="preserve"> 26, 2015 </w:t>
      </w:r>
    </w:p>
    <w:p w:rsidR="00C81248" w:rsidRPr="00F9745B" w:rsidRDefault="00C81248">
      <w:pPr>
        <w:rPr>
          <w:sz w:val="16"/>
          <w:szCs w:val="16"/>
        </w:rPr>
      </w:pPr>
    </w:p>
    <w:p w:rsidR="00F9745B" w:rsidRPr="00F9745B" w:rsidRDefault="00F9745B" w:rsidP="0091281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LB"/>
        </w:rPr>
      </w:pPr>
      <w:r w:rsidRPr="00F9745B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LB"/>
        </w:rPr>
        <w:t>التشريع في قضايا ا</w:t>
      </w:r>
      <w:r w:rsidR="00912818" w:rsidRPr="00F9745B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LB"/>
        </w:rPr>
        <w:t>ل</w:t>
      </w:r>
      <w:r w:rsidRPr="00F9745B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LB"/>
        </w:rPr>
        <w:t>ط</w:t>
      </w:r>
      <w:r w:rsidR="00912818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LB"/>
        </w:rPr>
        <w:t>اقة في لبنان</w:t>
      </w:r>
    </w:p>
    <w:p w:rsidR="00F9745B" w:rsidRPr="00F9745B" w:rsidRDefault="00F9745B" w:rsidP="00F9745B">
      <w:pPr>
        <w:bidi/>
        <w:jc w:val="center"/>
        <w:rPr>
          <w:rFonts w:ascii="Simplified Arabic" w:hAnsi="Simplified Arabic" w:cs="Simplified Arabic"/>
          <w:i/>
          <w:iCs/>
          <w:sz w:val="28"/>
          <w:szCs w:val="28"/>
          <w:rtl/>
          <w:lang w:val="en-US" w:bidi="ar-LB"/>
        </w:rPr>
      </w:pPr>
      <w:r w:rsidRPr="00F9745B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LB"/>
        </w:rPr>
        <w:t>قواعد ومعايير قانونية ودستورية وشروط الحكم الرشيد</w:t>
      </w:r>
    </w:p>
    <w:p w:rsidR="00F9745B" w:rsidRPr="00F9745B" w:rsidRDefault="00F9745B" w:rsidP="00F9745B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val="en-US" w:bidi="ar-LB"/>
        </w:rPr>
      </w:pPr>
      <w:r w:rsidRPr="00F9745B">
        <w:rPr>
          <w:rFonts w:ascii="Simplified Arabic" w:hAnsi="Simplified Arabic" w:cs="Simplified Arabic" w:hint="cs"/>
          <w:sz w:val="28"/>
          <w:szCs w:val="28"/>
          <w:rtl/>
          <w:lang w:val="en-US" w:bidi="ar-LB"/>
        </w:rPr>
        <w:t>انطوان مسرّه</w:t>
      </w:r>
      <w:r>
        <w:rPr>
          <w:rStyle w:val="FootnoteReference"/>
          <w:rFonts w:ascii="Simplified Arabic" w:hAnsi="Simplified Arabic" w:cs="Simplified Arabic"/>
          <w:sz w:val="28"/>
          <w:szCs w:val="28"/>
          <w:lang w:val="en-US" w:bidi="ar-LB"/>
        </w:rPr>
        <w:footnoteReference w:customMarkFollows="1" w:id="1"/>
        <w:t>*</w:t>
      </w:r>
    </w:p>
    <w:p w:rsidR="00F9745B" w:rsidRPr="00F9745B" w:rsidRDefault="00F9745B" w:rsidP="00F9745B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LB"/>
        </w:rPr>
      </w:pPr>
      <w:r w:rsidRPr="00F9745B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LB"/>
        </w:rPr>
        <w:t>خلاصة</w:t>
      </w:r>
    </w:p>
    <w:p w:rsidR="00F9745B" w:rsidRPr="00257664" w:rsidRDefault="00F9745B" w:rsidP="00F9745B">
      <w:pPr>
        <w:bidi/>
        <w:rPr>
          <w:rFonts w:ascii="Simplified Arabic" w:hAnsi="Simplified Arabic" w:cs="Simplified Arabic"/>
          <w:sz w:val="16"/>
          <w:szCs w:val="16"/>
          <w:rtl/>
          <w:lang w:val="en-US" w:bidi="ar-LB"/>
        </w:rPr>
      </w:pPr>
    </w:p>
    <w:p w:rsidR="00F9745B" w:rsidRDefault="00F9745B" w:rsidP="009717B4">
      <w:pPr>
        <w:bidi/>
        <w:rPr>
          <w:rFonts w:asciiTheme="minorHAnsi" w:hAnsiTheme="minorHAnsi" w:cs="Simplified Arabic"/>
          <w:sz w:val="22"/>
          <w:szCs w:val="22"/>
          <w:lang w:val="en-US" w:bidi="ar-LB"/>
        </w:rPr>
      </w:pPr>
      <w:r>
        <w:rPr>
          <w:rFonts w:ascii="Simplified Arabic" w:hAnsi="Simplified Arabic" w:cs="Simplified Arabic" w:hint="cs"/>
          <w:rtl/>
          <w:lang w:val="en-US" w:bidi="ar-LB"/>
        </w:rPr>
        <w:tab/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تثير قضايا الطاقة واستكشافها وادارة مواردها في لبنان</w:t>
      </w:r>
      <w:r w:rsidR="009717B4">
        <w:rPr>
          <w:rFonts w:asciiTheme="minorHAnsi" w:hAnsiTheme="minorHAnsi" w:cs="Simplified Arabic"/>
          <w:sz w:val="22"/>
          <w:szCs w:val="22"/>
          <w:lang w:val="en-US" w:bidi="ar-LB"/>
        </w:rPr>
        <w:t xml:space="preserve"> </w:t>
      </w:r>
      <w:r w:rsidRPr="00257664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 w:bidi="ar-LB"/>
        </w:rPr>
        <w:t>امالاً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كبيرة في التنمية المتوازنة وتعميم العدالة الاجتماعية وتأمين ظروف ع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م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ل وسد العجز في الميزانية العامة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،</w:t>
      </w:r>
      <w:r w:rsidR="009717B4">
        <w:rPr>
          <w:rFonts w:asciiTheme="minorHAnsi" w:hAnsiTheme="minorHAnsi" w:cs="Simplified Arabic"/>
          <w:sz w:val="22"/>
          <w:szCs w:val="22"/>
          <w:lang w:val="en-US" w:bidi="ar-LB"/>
        </w:rPr>
        <w:t xml:space="preserve"> 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وهي تطرح في ذات الوقت </w:t>
      </w:r>
      <w:r w:rsidRPr="00257664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 w:bidi="ar-LB"/>
        </w:rPr>
        <w:t>مخاوف عديدة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من المواطنين من 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إ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متداد شبكة الزبائنية والتهميش الاجتماعي.</w:t>
      </w:r>
      <w:r w:rsidR="009717B4">
        <w:rPr>
          <w:rFonts w:asciiTheme="minorHAnsi" w:hAnsiTheme="minorHAnsi" w:cs="Simplified Arabic"/>
          <w:sz w:val="22"/>
          <w:szCs w:val="22"/>
          <w:lang w:val="en-US" w:bidi="ar-LB"/>
        </w:rPr>
        <w:t xml:space="preserve"> 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سوف يظهر كل ذلك من خلال عمل الخبراء الذين سوف ينكبون على </w:t>
      </w:r>
    </w:p>
    <w:p w:rsidR="009717B4" w:rsidRPr="009717B4" w:rsidRDefault="009717B4" w:rsidP="009717B4">
      <w:pPr>
        <w:bidi/>
        <w:rPr>
          <w:rFonts w:asciiTheme="minorHAnsi" w:hAnsiTheme="minorHAnsi" w:cs="Simplified Arabic"/>
          <w:sz w:val="22"/>
          <w:szCs w:val="22"/>
          <w:lang w:val="en-US" w:bidi="ar-LB"/>
        </w:rPr>
      </w:pPr>
    </w:p>
    <w:p w:rsidR="00F9745B" w:rsidRPr="00257664" w:rsidRDefault="00F9745B" w:rsidP="00F9745B">
      <w:pPr>
        <w:bidi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</w:r>
      <w:r w:rsidRPr="00257664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 w:bidi="ar-LB"/>
        </w:rPr>
        <w:t xml:space="preserve">وضع التشريعات الناظمة </w:t>
      </w:r>
    </w:p>
    <w:p w:rsidR="00F9745B" w:rsidRPr="00257664" w:rsidRDefault="00F9745B" w:rsidP="00F9745B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وتحديد هيئات ادارة الموارد واستثمارها</w:t>
      </w:r>
    </w:p>
    <w:p w:rsidR="00F9745B" w:rsidRPr="00257664" w:rsidRDefault="00F9745B" w:rsidP="00F9745B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وتوزيع هذه الموارد</w:t>
      </w:r>
    </w:p>
    <w:p w:rsidR="00F9745B" w:rsidRPr="00257664" w:rsidRDefault="00F9745B" w:rsidP="00F9745B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وحصة المال العام فيها...</w:t>
      </w:r>
    </w:p>
    <w:p w:rsidR="00F9745B" w:rsidRPr="00257664" w:rsidRDefault="00F9745B" w:rsidP="0025766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لا بد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،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في التشريع في شؤون الطاقة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، من اعتماد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</w:t>
      </w:r>
      <w:r w:rsidRPr="00257664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 w:bidi="ar-LB"/>
        </w:rPr>
        <w:t>المبادئ العامة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في الصياغة التشريعية في سلم الاولويات</w:t>
      </w:r>
    </w:p>
    <w:p w:rsidR="00F9745B" w:rsidRPr="00257664" w:rsidRDefault="00F9745B" w:rsidP="00F9745B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من خلال وضوح النصوص التشريعية ومفهوميتها.</w:t>
      </w:r>
    </w:p>
    <w:p w:rsidR="00F9745B" w:rsidRPr="00257664" w:rsidRDefault="00F9745B" w:rsidP="00F9745B">
      <w:pPr>
        <w:bidi/>
        <w:jc w:val="center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***</w:t>
      </w:r>
    </w:p>
    <w:p w:rsidR="00F9745B" w:rsidRPr="00257664" w:rsidRDefault="00F9745B" w:rsidP="00F9745B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في سلم الاولويات مقدمة الدستور اللبناني المعدل سنة 1990 والتي اصبحت جزءًا لا يتجزأ من الدستور.</w:t>
      </w:r>
    </w:p>
    <w:p w:rsidR="00F9745B" w:rsidRPr="00257664" w:rsidRDefault="00F9745B" w:rsidP="0025766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تنص هذه المقدمة: "الانماء المتوازن للمناطق ثقافيًا و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إ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جتماعيًا واقتصاديًا ركن اساسي من اركان وحدة الدولة واستقرار النظام".</w:t>
      </w:r>
    </w:p>
    <w:p w:rsidR="00F9745B" w:rsidRPr="00257664" w:rsidRDefault="00F9745B" w:rsidP="00F9745B">
      <w:pPr>
        <w:bidi/>
        <w:jc w:val="center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***</w:t>
      </w:r>
    </w:p>
    <w:p w:rsidR="00F9745B" w:rsidRPr="00257664" w:rsidRDefault="00F9745B" w:rsidP="0025766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 xml:space="preserve">التشريعات النافذة المتعلقة بالنفط ابرزها التالية: </w:t>
      </w:r>
    </w:p>
    <w:p w:rsidR="00F9745B" w:rsidRPr="00257664" w:rsidRDefault="00F9745B" w:rsidP="00F9745B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 xml:space="preserve">مرسوم رقم 1358 تاريخ 26/12/1983: منح وزير الصناعة والنفط سلطة مصادرة </w:t>
      </w:r>
      <w:r w:rsidR="00171252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المنتوجات والتجهيزات والمنشآت النفطية. </w:t>
      </w:r>
    </w:p>
    <w:p w:rsidR="00171252" w:rsidRPr="00257664" w:rsidRDefault="00171252" w:rsidP="0025766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 xml:space="preserve">- مرسوم 5039 تاريخ 9/4/1994: الاحكام العامة للتعاقد مع الشركات من 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أ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جل البحث والتنقيب عن النفط والغاز واستخراجهما واستثمارهما في المياه الاقليمية اللبنانية.</w:t>
      </w:r>
    </w:p>
    <w:p w:rsidR="00257664" w:rsidRPr="00257664" w:rsidRDefault="00257664" w:rsidP="00257664">
      <w:pPr>
        <w:bidi/>
        <w:jc w:val="center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***</w:t>
      </w:r>
    </w:p>
    <w:p w:rsidR="00171252" w:rsidRPr="00257664" w:rsidRDefault="00171252" w:rsidP="001D0487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 xml:space="preserve">- </w:t>
      </w:r>
      <w:r w:rsidRPr="00257664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 w:bidi="ar-LB"/>
        </w:rPr>
        <w:t>قانون رقم 132 تاريخ 24/8/2010: الموارد الب</w:t>
      </w:r>
      <w:r w:rsidR="001D0487" w:rsidRPr="00257664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 w:bidi="ar-LB"/>
        </w:rPr>
        <w:t>ت</w:t>
      </w:r>
      <w:r w:rsidRPr="00257664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 w:bidi="ar-LB"/>
        </w:rPr>
        <w:t>رولية في المياه البحرية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. </w:t>
      </w:r>
    </w:p>
    <w:p w:rsidR="00171252" w:rsidRPr="00257664" w:rsidRDefault="00171252" w:rsidP="00171252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نتوقف عند المادة 38 بع</w:t>
      </w:r>
      <w:r w:rsidR="002D7F63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نوان: "التنسيق بين الانشطة البتر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ولية": </w:t>
      </w:r>
    </w:p>
    <w:p w:rsidR="00171252" w:rsidRPr="00257664" w:rsidRDefault="00171252" w:rsidP="00171252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</w:r>
      <w:r w:rsidR="002D7F63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ينص الفصل السادس على "حصص</w:t>
      </w:r>
      <w:r w:rsidR="001D0487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البترول والرسوم".</w:t>
      </w:r>
    </w:p>
    <w:p w:rsidR="009717B4" w:rsidRDefault="002D7F63" w:rsidP="002D7F63">
      <w:pPr>
        <w:bidi/>
        <w:jc w:val="both"/>
        <w:rPr>
          <w:rFonts w:asciiTheme="minorHAnsi" w:hAnsiTheme="minorHAnsi" w:cs="Simplified Arabic"/>
          <w:sz w:val="22"/>
          <w:szCs w:val="22"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وتنص المادة 44: تقاسم الانتاج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: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"تحدد طري</w:t>
      </w:r>
      <w:r w:rsidR="001D0487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ق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ة 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إ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حتساب وتوزيع الحصص المتعلقة ببترول الكلفة وبترول الربح بموجب مرسوم يتخذ في مجلس الوزراء بناء على اقتراح الوزير المستند الى رأي الهيئة" (</w:t>
      </w:r>
      <w:r w:rsidRPr="00257664">
        <w:rPr>
          <w:rFonts w:ascii="Simplified Arabic" w:hAnsi="Simplified Arabic" w:cs="Simplified Arabic" w:hint="cs"/>
          <w:i/>
          <w:iCs/>
          <w:sz w:val="22"/>
          <w:szCs w:val="22"/>
          <w:rtl/>
          <w:lang w:val="en-US" w:bidi="ar-LB"/>
        </w:rPr>
        <w:t>المؤسسة ذات الطابع الخاص التي تتولى المهام المحددة في القانون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).</w:t>
      </w:r>
      <w:r w:rsidR="001D0487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</w:t>
      </w:r>
    </w:p>
    <w:p w:rsidR="009717B4" w:rsidRDefault="009717B4" w:rsidP="009717B4">
      <w:pPr>
        <w:bidi/>
        <w:jc w:val="both"/>
        <w:rPr>
          <w:rFonts w:asciiTheme="minorHAnsi" w:hAnsiTheme="minorHAnsi" w:cs="Simplified Arabic"/>
          <w:sz w:val="22"/>
          <w:szCs w:val="22"/>
          <w:lang w:val="en-US" w:bidi="ar-LB"/>
        </w:rPr>
      </w:pPr>
    </w:p>
    <w:p w:rsidR="009717B4" w:rsidRPr="00257664" w:rsidRDefault="009717B4" w:rsidP="009717B4">
      <w:pPr>
        <w:bidi/>
        <w:jc w:val="center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lastRenderedPageBreak/>
        <w:t>***</w:t>
      </w:r>
    </w:p>
    <w:p w:rsidR="009717B4" w:rsidRPr="009717B4" w:rsidRDefault="009717B4" w:rsidP="009717B4">
      <w:pPr>
        <w:bidi/>
        <w:jc w:val="both"/>
        <w:rPr>
          <w:rFonts w:asciiTheme="minorHAnsi" w:hAnsiTheme="minorHAnsi" w:cs="Simplified Arabic"/>
          <w:sz w:val="22"/>
          <w:szCs w:val="22"/>
          <w:lang w:val="en-US" w:bidi="ar-LB"/>
        </w:rPr>
      </w:pPr>
    </w:p>
    <w:p w:rsidR="002D7F63" w:rsidRPr="00257664" w:rsidRDefault="002D7F63" w:rsidP="009717B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وتنص المادة 61 على "الممارسة الرشيدة للانشطة البترولية".</w:t>
      </w:r>
    </w:p>
    <w:p w:rsidR="002D7F63" w:rsidRPr="00257664" w:rsidRDefault="002D7F63" w:rsidP="002D7F63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</w:r>
      <w:r w:rsidRPr="00257664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 w:bidi="ar-LB"/>
        </w:rPr>
        <w:t>المادة 10- هيئة ادارة قطاع البترول:</w:t>
      </w:r>
    </w:p>
    <w:p w:rsidR="002D7F63" w:rsidRPr="00257664" w:rsidRDefault="002D7F63" w:rsidP="0025766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"تنشأ بموجب هذا القانون هيئة تسمى هيئة ادارة قطاع البترول "تتمتع بالاستقلالين المالي والاداري ترتبط بالوزير الذي ي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ُ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مارس عليها سلطة الوصاية، وتخضع بعض قراراتها المالية والادارية 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لتصديقه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، وفق ما يرد في مرسوم تنظيمها.</w:t>
      </w:r>
    </w:p>
    <w:p w:rsidR="002D7F63" w:rsidRPr="00257664" w:rsidRDefault="002D7F63" w:rsidP="0025766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"كما تخضع لانظمتها الداخلية و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أ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حكام هذا القانون وهي لا تخضع لاحكام النظام العام للمؤسسات العامة المصدق بالمرسوم رقم 4517 ولا لمجلس الخدمة المدنية بل تخضع لرقابة ديوان المحاسبة اللاصقة (...)".</w:t>
      </w:r>
    </w:p>
    <w:p w:rsidR="002D7F63" w:rsidRPr="00257664" w:rsidRDefault="002D7F63" w:rsidP="002D7F63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</w:r>
      <w:r w:rsidRPr="00257664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 w:bidi="ar-LB"/>
        </w:rPr>
        <w:t>المادة 76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: المراسيم التطبيقية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: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"تحدد دقائق تطبيق هذا القانون عند الاقتضاء بمراسيم ت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ُ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تخذ في مجلس الوزراء بناء على اقتراح الوزير 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و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من الجائز دمج مراسيم تطبيقية متعلقة بتطبيق هذا القانون في مرسوم واحد".</w:t>
      </w:r>
    </w:p>
    <w:p w:rsidR="002D7F63" w:rsidRPr="00257664" w:rsidRDefault="002D7F63" w:rsidP="002D7F63">
      <w:pPr>
        <w:bidi/>
        <w:jc w:val="center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***</w:t>
      </w:r>
    </w:p>
    <w:p w:rsidR="00257664" w:rsidRPr="00257664" w:rsidRDefault="00257664" w:rsidP="002D7F63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يتطلب كل ذلك انتظام ثلاث مؤسسات:</w:t>
      </w:r>
    </w:p>
    <w:p w:rsidR="00257664" w:rsidRPr="00257664" w:rsidRDefault="00257664" w:rsidP="0025766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</w:r>
      <w:r w:rsidRPr="00257664">
        <w:rPr>
          <w:rFonts w:ascii="Simplified Arabic" w:hAnsi="Simplified Arabic" w:cs="Simplified Arabic" w:hint="cs"/>
          <w:b/>
          <w:bCs/>
          <w:sz w:val="22"/>
          <w:szCs w:val="22"/>
          <w:bdr w:val="single" w:sz="4" w:space="0" w:color="auto"/>
          <w:rtl/>
          <w:lang w:val="en-US" w:bidi="ar-LB"/>
        </w:rPr>
        <w:t>1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الهيئة الناظمة المستقلة: المسؤولية الكبرى تقع على "الهيئة".</w:t>
      </w:r>
    </w:p>
    <w:p w:rsidR="00257664" w:rsidRPr="00257664" w:rsidRDefault="00257664" w:rsidP="0025766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في تكوينها</w:t>
      </w:r>
    </w:p>
    <w:p w:rsidR="00257664" w:rsidRPr="00257664" w:rsidRDefault="00257664" w:rsidP="0025766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والشخصيات فيها</w:t>
      </w:r>
    </w:p>
    <w:p w:rsidR="00257664" w:rsidRPr="00257664" w:rsidRDefault="00257664" w:rsidP="0025766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واستقلاليتها الفعلية...</w:t>
      </w:r>
    </w:p>
    <w:p w:rsidR="002D7F63" w:rsidRPr="00257664" w:rsidRDefault="002D7F63" w:rsidP="0025766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</w:r>
      <w:r w:rsidR="00257664" w:rsidRPr="00257664">
        <w:rPr>
          <w:rFonts w:ascii="Simplified Arabic" w:hAnsi="Simplified Arabic" w:cs="Simplified Arabic" w:hint="cs"/>
          <w:b/>
          <w:bCs/>
          <w:sz w:val="22"/>
          <w:szCs w:val="22"/>
          <w:bdr w:val="single" w:sz="4" w:space="0" w:color="auto"/>
          <w:rtl/>
          <w:lang w:val="en-US" w:bidi="ar-LB"/>
        </w:rPr>
        <w:t>2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</w:t>
      </w:r>
      <w:r w:rsidRPr="00257664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 w:bidi="ar-LB"/>
        </w:rPr>
        <w:t>سلطة الوصاية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على الهيئة بحاجة الى توضيح اذ تحولت غالبًا الرقابة على المؤسسات المستقلة الى رقابة على الملائمة </w:t>
      </w:r>
      <w:proofErr w:type="spellStart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>contrôle</w:t>
      </w:r>
      <w:proofErr w:type="spellEnd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 xml:space="preserve"> </w:t>
      </w:r>
      <w:proofErr w:type="spellStart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>d’opportunité</w:t>
      </w:r>
      <w:proofErr w:type="spellEnd"/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،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وليس حصرًا على المراقبة القانونية </w:t>
      </w:r>
      <w:proofErr w:type="spellStart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>contrôle</w:t>
      </w:r>
      <w:proofErr w:type="spellEnd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 xml:space="preserve"> </w:t>
      </w:r>
      <w:proofErr w:type="spellStart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>délégalité</w:t>
      </w:r>
      <w:proofErr w:type="spellEnd"/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.</w:t>
      </w:r>
    </w:p>
    <w:p w:rsidR="002D7F63" w:rsidRPr="00257664" w:rsidRDefault="002D7F63" w:rsidP="0025766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</w:r>
      <w:r w:rsidR="00257664" w:rsidRPr="00257664">
        <w:rPr>
          <w:rFonts w:ascii="Simplified Arabic" w:hAnsi="Simplified Arabic" w:cs="Simplified Arabic" w:hint="cs"/>
          <w:b/>
          <w:bCs/>
          <w:sz w:val="22"/>
          <w:szCs w:val="22"/>
          <w:bdr w:val="single" w:sz="4" w:space="0" w:color="auto"/>
          <w:rtl/>
          <w:lang w:val="en-US" w:bidi="ar-LB"/>
        </w:rPr>
        <w:t>3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</w:t>
      </w:r>
      <w:r w:rsidRPr="00257664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 w:bidi="ar-LB"/>
        </w:rPr>
        <w:t>لمجلس الوزراء</w:t>
      </w: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دور كبير في مجال تنظيم الثروة النفطية. </w:t>
      </w:r>
    </w:p>
    <w:p w:rsidR="002D7F63" w:rsidRPr="00257664" w:rsidRDefault="002D7F63" w:rsidP="002D7F63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مما يتطلب البحث الجدي في انتظام عمل مجلس ال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وزراء فلا يكون مجلس نيابي مصغر،</w:t>
      </w:r>
    </w:p>
    <w:p w:rsidR="00257664" w:rsidRPr="00257664" w:rsidRDefault="002D7F63" w:rsidP="002D7F63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 xml:space="preserve">بل، حسبما ورد في الدستور، "سلطة اجرائية" </w:t>
      </w:r>
    </w:p>
    <w:p w:rsidR="002D7F63" w:rsidRPr="00257664" w:rsidRDefault="002D7F63" w:rsidP="00257664">
      <w:pPr>
        <w:bidi/>
        <w:ind w:firstLine="720"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وحيث لا طغيان اكثرية </w:t>
      </w:r>
      <w:proofErr w:type="spellStart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>abus</w:t>
      </w:r>
      <w:proofErr w:type="spellEnd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 xml:space="preserve"> de </w:t>
      </w:r>
      <w:proofErr w:type="spellStart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>majorité</w:t>
      </w:r>
      <w:proofErr w:type="spellEnd"/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ولا طغيان اقلية </w:t>
      </w:r>
      <w:proofErr w:type="spellStart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>abus</w:t>
      </w:r>
      <w:proofErr w:type="spellEnd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 xml:space="preserve"> de </w:t>
      </w:r>
      <w:proofErr w:type="spellStart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>minorité</w:t>
      </w:r>
      <w:proofErr w:type="spellEnd"/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،</w:t>
      </w:r>
    </w:p>
    <w:p w:rsidR="002D7F63" w:rsidRPr="00257664" w:rsidRDefault="002D7F63" w:rsidP="002D7F63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بل تصويت</w:t>
      </w:r>
    </w:p>
    <w:p w:rsidR="002D7F63" w:rsidRPr="00257664" w:rsidRDefault="002D7F63" w:rsidP="00257664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 xml:space="preserve">واكثرية موصوفة </w:t>
      </w:r>
      <w:proofErr w:type="spellStart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>majorité</w:t>
      </w:r>
      <w:proofErr w:type="spellEnd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 xml:space="preserve"> </w:t>
      </w:r>
      <w:proofErr w:type="spellStart"/>
      <w:r w:rsidRPr="00257664">
        <w:rPr>
          <w:rFonts w:ascii="Simplified Arabic" w:hAnsi="Simplified Arabic" w:cs="Simplified Arabic"/>
          <w:sz w:val="22"/>
          <w:szCs w:val="22"/>
          <w:lang w:val="en-US" w:bidi="ar-LB"/>
        </w:rPr>
        <w:t>qualifiée</w:t>
      </w:r>
      <w:proofErr w:type="spellEnd"/>
      <w:r w:rsidR="00CA6699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في القضايا المحددة </w:t>
      </w:r>
      <w:r w:rsidR="00257664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>حصرًا</w:t>
      </w:r>
      <w:r w:rsidR="00CA6699"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 xml:space="preserve"> في المادة 65.</w:t>
      </w:r>
    </w:p>
    <w:p w:rsidR="00CA6699" w:rsidRDefault="00CA6699" w:rsidP="00257664">
      <w:pPr>
        <w:bidi/>
        <w:jc w:val="both"/>
        <w:rPr>
          <w:rFonts w:ascii="Simplified Arabic" w:hAnsi="Simplified Arabic" w:cs="Simplified Arabic"/>
          <w:rtl/>
          <w:lang w:val="en-US" w:bidi="ar-LB"/>
        </w:rPr>
      </w:pPr>
      <w:r w:rsidRPr="00257664">
        <w:rPr>
          <w:rFonts w:ascii="Simplified Arabic" w:hAnsi="Simplified Arabic" w:cs="Simplified Arabic" w:hint="cs"/>
          <w:sz w:val="22"/>
          <w:szCs w:val="22"/>
          <w:rtl/>
          <w:lang w:val="en-US" w:bidi="ar-LB"/>
        </w:rPr>
        <w:tab/>
        <w:t>الاستعداد تاليًا للحكمية الرشيدة في تنظيم قطاع النفط والتنقيب عن النفط.</w:t>
      </w:r>
      <w:bookmarkStart w:id="0" w:name="_GoBack"/>
      <w:bookmarkEnd w:id="0"/>
    </w:p>
    <w:p w:rsidR="00CA6699" w:rsidRPr="002D7F63" w:rsidRDefault="00CA6699" w:rsidP="00CA6699">
      <w:pPr>
        <w:bidi/>
        <w:jc w:val="both"/>
        <w:rPr>
          <w:rFonts w:ascii="Simplified Arabic" w:hAnsi="Simplified Arabic" w:cs="Simplified Arabic"/>
          <w:lang w:val="en-US" w:bidi="ar-LB"/>
        </w:rPr>
      </w:pPr>
    </w:p>
    <w:sectPr w:rsidR="00CA6699" w:rsidRPr="002D7F63" w:rsidSect="00257664">
      <w:footerReference w:type="default" r:id="rId7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DA" w:rsidRDefault="00F161DA" w:rsidP="00F9745B">
      <w:r>
        <w:separator/>
      </w:r>
    </w:p>
  </w:endnote>
  <w:endnote w:type="continuationSeparator" w:id="0">
    <w:p w:rsidR="00F161DA" w:rsidRDefault="00F161DA" w:rsidP="00F9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309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DB9" w:rsidRDefault="00C572B2">
        <w:pPr>
          <w:pStyle w:val="Footer"/>
          <w:jc w:val="center"/>
        </w:pPr>
        <w:r>
          <w:fldChar w:fldCharType="begin"/>
        </w:r>
        <w:r w:rsidR="006E6DB9">
          <w:instrText xml:space="preserve"> PAGE   \* MERGEFORMAT </w:instrText>
        </w:r>
        <w:r>
          <w:fldChar w:fldCharType="separate"/>
        </w:r>
        <w:r w:rsidR="00162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DB9" w:rsidRDefault="006E6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DA" w:rsidRDefault="00F161DA" w:rsidP="00F9745B">
      <w:r>
        <w:separator/>
      </w:r>
    </w:p>
  </w:footnote>
  <w:footnote w:type="continuationSeparator" w:id="0">
    <w:p w:rsidR="00F161DA" w:rsidRDefault="00F161DA" w:rsidP="00F9745B">
      <w:r>
        <w:continuationSeparator/>
      </w:r>
    </w:p>
  </w:footnote>
  <w:footnote w:id="1">
    <w:p w:rsidR="00F9745B" w:rsidRPr="009717B4" w:rsidRDefault="00F9745B" w:rsidP="009717B4">
      <w:pPr>
        <w:pStyle w:val="FootnoteText"/>
        <w:rPr>
          <w:sz w:val="18"/>
          <w:rtl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248"/>
    <w:rsid w:val="0016269D"/>
    <w:rsid w:val="00171252"/>
    <w:rsid w:val="001D0487"/>
    <w:rsid w:val="00257664"/>
    <w:rsid w:val="002A4002"/>
    <w:rsid w:val="002D7F63"/>
    <w:rsid w:val="006E6DB9"/>
    <w:rsid w:val="00912818"/>
    <w:rsid w:val="009717B4"/>
    <w:rsid w:val="00C572B2"/>
    <w:rsid w:val="00C81248"/>
    <w:rsid w:val="00CA6699"/>
    <w:rsid w:val="00F161DA"/>
    <w:rsid w:val="00F9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6">
    <w:name w:val="heading 6"/>
    <w:basedOn w:val="Normal"/>
    <w:next w:val="Normal"/>
    <w:link w:val="Heading6Char"/>
    <w:qFormat/>
    <w:rsid w:val="00C81248"/>
    <w:pPr>
      <w:keepNext/>
      <w:spacing w:before="72"/>
      <w:jc w:val="both"/>
      <w:outlineLvl w:val="5"/>
    </w:pPr>
    <w:rPr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81248"/>
    <w:rPr>
      <w:rFonts w:ascii="Times New Roman" w:eastAsia="Times New Roman" w:hAnsi="Times New Roman" w:cs="Times New Roman"/>
      <w:b/>
      <w:bCs/>
      <w:sz w:val="20"/>
      <w:szCs w:val="26"/>
      <w:lang w:val="fr-FR"/>
    </w:rPr>
  </w:style>
  <w:style w:type="character" w:styleId="Hyperlink">
    <w:name w:val="Hyperlink"/>
    <w:rsid w:val="00C8124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4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45B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F974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1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B9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E6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B9"/>
    <w:rPr>
      <w:rFonts w:ascii="Times New Roman" w:eastAsia="Times New Roman" w:hAnsi="Times New Roman" w:cs="Times New Roman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25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71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6">
    <w:name w:val="heading 6"/>
    <w:basedOn w:val="Normal"/>
    <w:next w:val="Normal"/>
    <w:link w:val="Heading6Char"/>
    <w:qFormat/>
    <w:rsid w:val="00C81248"/>
    <w:pPr>
      <w:keepNext/>
      <w:spacing w:before="72"/>
      <w:jc w:val="both"/>
      <w:outlineLvl w:val="5"/>
    </w:pPr>
    <w:rPr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81248"/>
    <w:rPr>
      <w:rFonts w:ascii="Times New Roman" w:eastAsia="Times New Roman" w:hAnsi="Times New Roman" w:cs="Times New Roman"/>
      <w:b/>
      <w:bCs/>
      <w:sz w:val="20"/>
      <w:szCs w:val="26"/>
      <w:lang w:val="fr-FR"/>
    </w:rPr>
  </w:style>
  <w:style w:type="character" w:styleId="Hyperlink">
    <w:name w:val="Hyperlink"/>
    <w:rsid w:val="00C8124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4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45B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F974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1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B9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E6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B9"/>
    <w:rPr>
      <w:rFonts w:ascii="Times New Roman" w:eastAsia="Times New Roman" w:hAnsi="Times New Roman" w:cs="Times New Roman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25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C08B-1A31-4759-BD92-103657EC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Walid</cp:lastModifiedBy>
  <cp:revision>4</cp:revision>
  <cp:lastPrinted>2015-06-26T05:39:00Z</cp:lastPrinted>
  <dcterms:created xsi:type="dcterms:W3CDTF">2015-07-20T10:33:00Z</dcterms:created>
  <dcterms:modified xsi:type="dcterms:W3CDTF">2015-07-20T10:34:00Z</dcterms:modified>
</cp:coreProperties>
</file>